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center"/>
        <w:rPr>
          <w:rFonts w:ascii="Times New Roman" w:hAnsi="Times New Roman" w:cs="Times New Roman"/>
          <w:b/>
          <w:sz w:val="24"/>
          <w:szCs w:val="24"/>
        </w:rPr>
      </w:pPr>
      <w:r>
        <w:rPr>
          <w:rFonts w:ascii="Times New Roman" w:hAnsi="Times New Roman" w:cs="Times New Roman"/>
          <w:b/>
          <w:sz w:val="24"/>
          <w:szCs w:val="24"/>
        </w:rPr>
        <w:t xml:space="preserve"> РЕСПУБЛИКА ТЫВА</w:t>
      </w:r>
    </w:p>
    <w:p>
      <w:pPr>
        <w:pStyle w:val="4"/>
        <w:jc w:val="center"/>
        <w:rPr>
          <w:rFonts w:ascii="Times New Roman" w:hAnsi="Times New Roman" w:cs="Times New Roman"/>
          <w:b/>
          <w:sz w:val="24"/>
          <w:szCs w:val="24"/>
        </w:rPr>
      </w:pPr>
      <w:r>
        <w:rPr>
          <w:rFonts w:ascii="Times New Roman" w:hAnsi="Times New Roman" w:cs="Times New Roman"/>
          <w:b/>
          <w:sz w:val="24"/>
          <w:szCs w:val="24"/>
        </w:rPr>
        <w:t>ПИЙ-ХЕМСКИЙ КОЖУУН</w:t>
      </w:r>
    </w:p>
    <w:p>
      <w:pPr>
        <w:pStyle w:val="4"/>
        <w:pBdr>
          <w:bottom w:val="single" w:color="auto" w:sz="12" w:space="1"/>
        </w:pBdr>
        <w:jc w:val="center"/>
        <w:rPr>
          <w:rFonts w:ascii="Times New Roman" w:hAnsi="Times New Roman" w:cs="Times New Roman"/>
          <w:b/>
          <w:sz w:val="24"/>
          <w:szCs w:val="24"/>
        </w:rPr>
      </w:pPr>
      <w:r>
        <w:rPr>
          <w:rFonts w:ascii="Times New Roman" w:hAnsi="Times New Roman" w:cs="Times New Roman"/>
          <w:b/>
          <w:sz w:val="24"/>
          <w:szCs w:val="24"/>
        </w:rPr>
        <w:t>АДМИНИСТРАЦИЯ СУМОНА СЕСЕРЛИГ</w:t>
      </w:r>
    </w:p>
    <w:p>
      <w:pPr>
        <w:pStyle w:val="4"/>
        <w:jc w:val="center"/>
        <w:rPr>
          <w:rFonts w:ascii="Times New Roman" w:hAnsi="Times New Roman" w:cs="Times New Roman"/>
          <w:sz w:val="20"/>
          <w:szCs w:val="20"/>
        </w:rPr>
      </w:pPr>
      <w:r>
        <w:rPr>
          <w:rFonts w:ascii="Times New Roman" w:hAnsi="Times New Roman" w:cs="Times New Roman"/>
          <w:sz w:val="20"/>
          <w:szCs w:val="20"/>
        </w:rPr>
        <w:t>668520, Республика Тыва Пий-Хемский кожуун,с.Сесерлиг ,ул.Мандараа 19 а ,тел/такс. 83943521803</w:t>
      </w:r>
    </w:p>
    <w:p>
      <w:pPr>
        <w:spacing w:after="200" w:line="276" w:lineRule="auto"/>
        <w:jc w:val="center"/>
        <w:rPr>
          <w:rFonts w:ascii="Times New Roman" w:hAnsi="Times New Roman" w:eastAsia="Times New Roman" w:cs="Times New Roman"/>
          <w:b/>
          <w:sz w:val="28"/>
          <w:szCs w:val="28"/>
          <w:lang w:eastAsia="ru-RU"/>
        </w:rPr>
      </w:pPr>
    </w:p>
    <w:p>
      <w:pPr>
        <w:spacing w:after="200" w:line="276"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ПОСТАНОВЛЕНИЕ</w:t>
      </w:r>
    </w:p>
    <w:p>
      <w:pPr>
        <w:spacing w:after="200" w:line="276" w:lineRule="auto"/>
        <w:jc w:val="center"/>
        <w:rPr>
          <w:rFonts w:hint="default"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eastAsia="ru-RU"/>
        </w:rPr>
        <w:t>от «2</w:t>
      </w:r>
      <w:r>
        <w:rPr>
          <w:rFonts w:hint="default" w:ascii="Times New Roman" w:hAnsi="Times New Roman" w:eastAsia="Times New Roman" w:cs="Times New Roman"/>
          <w:b/>
          <w:sz w:val="28"/>
          <w:szCs w:val="28"/>
          <w:lang w:val="en-US" w:eastAsia="ru-RU"/>
        </w:rPr>
        <w:t>6» декабря</w:t>
      </w:r>
      <w:r>
        <w:rPr>
          <w:rFonts w:ascii="Times New Roman" w:hAnsi="Times New Roman" w:eastAsia="Times New Roman" w:cs="Times New Roman"/>
          <w:b/>
          <w:sz w:val="28"/>
          <w:szCs w:val="28"/>
          <w:lang w:eastAsia="ru-RU"/>
        </w:rPr>
        <w:t xml:space="preserve"> 2023</w:t>
      </w:r>
      <w:r>
        <w:rPr>
          <w:rFonts w:hint="default" w:ascii="Times New Roman" w:hAnsi="Times New Roman" w:eastAsia="Times New Roman" w:cs="Times New Roman"/>
          <w:b/>
          <w:sz w:val="28"/>
          <w:szCs w:val="28"/>
          <w:lang w:val="en-US" w:eastAsia="ru-RU"/>
        </w:rPr>
        <w:t xml:space="preserve"> г                                                                    </w:t>
      </w:r>
      <w:r>
        <w:rPr>
          <w:rFonts w:ascii="Times New Roman" w:hAnsi="Times New Roman" w:eastAsia="Times New Roman" w:cs="Times New Roman"/>
          <w:b/>
          <w:sz w:val="28"/>
          <w:szCs w:val="28"/>
          <w:lang w:eastAsia="ru-RU"/>
        </w:rPr>
        <w:t xml:space="preserve">№ </w:t>
      </w:r>
      <w:r>
        <w:rPr>
          <w:rFonts w:hint="default" w:ascii="Times New Roman" w:hAnsi="Times New Roman" w:eastAsia="Times New Roman" w:cs="Times New Roman"/>
          <w:b/>
          <w:sz w:val="28"/>
          <w:szCs w:val="28"/>
          <w:lang w:val="en-US" w:eastAsia="ru-RU"/>
        </w:rPr>
        <w:t>24</w:t>
      </w:r>
    </w:p>
    <w:p>
      <w:pPr>
        <w:spacing w:before="100" w:beforeAutospacing="1" w:after="100" w:afterAutospacing="1" w:line="240" w:lineRule="auto"/>
        <w:jc w:val="center"/>
        <w:rPr>
          <w:rFonts w:hint="default" w:ascii="Times New Roman" w:hAnsi="Times New Roman" w:eastAsia="Times New Roman" w:cs="Times New Roman"/>
          <w:b/>
          <w:color w:val="333333"/>
          <w:sz w:val="28"/>
          <w:szCs w:val="28"/>
          <w:shd w:val="clear" w:color="auto" w:fill="FFFFFF"/>
          <w:lang w:val="en-US" w:eastAsia="ru-RU"/>
        </w:rPr>
      </w:pPr>
      <w:r>
        <w:rPr>
          <w:rFonts w:ascii="Times New Roman" w:hAnsi="Times New Roman" w:eastAsia="Times New Roman" w:cs="Times New Roman"/>
          <w:b/>
          <w:sz w:val="28"/>
          <w:szCs w:val="28"/>
          <w:lang w:eastAsia="ru-RU"/>
        </w:rPr>
        <w:t>«Об утверждении</w:t>
      </w:r>
      <w:r>
        <w:rPr>
          <w:rFonts w:ascii="Times New Roman" w:hAnsi="Times New Roman" w:eastAsia="Times New Roman" w:cs="Times New Roman"/>
          <w:b/>
          <w:color w:val="333333"/>
          <w:sz w:val="28"/>
          <w:szCs w:val="28"/>
          <w:shd w:val="clear" w:color="auto" w:fill="FFFFFF"/>
          <w:lang w:eastAsia="ru-RU"/>
        </w:rPr>
        <w:t xml:space="preserve"> муниципальной</w:t>
      </w:r>
      <w:r>
        <w:rPr>
          <w:rFonts w:hint="default" w:ascii="Times New Roman" w:hAnsi="Times New Roman" w:eastAsia="Times New Roman" w:cs="Times New Roman"/>
          <w:b/>
          <w:color w:val="333333"/>
          <w:sz w:val="28"/>
          <w:szCs w:val="28"/>
          <w:shd w:val="clear" w:color="auto" w:fill="FFFFFF"/>
          <w:lang w:val="en-US" w:eastAsia="ru-RU"/>
        </w:rPr>
        <w:t xml:space="preserve"> программы</w:t>
      </w:r>
    </w:p>
    <w:p>
      <w:pPr>
        <w:spacing w:before="100" w:beforeAutospacing="1" w:after="100" w:afterAutospacing="1"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«Профилактика терроризма и экстремизма на территории </w:t>
      </w:r>
    </w:p>
    <w:p>
      <w:pPr>
        <w:spacing w:before="100" w:beforeAutospacing="1" w:after="100" w:afterAutospacing="1"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сельского поселения сумона Сесе</w:t>
      </w:r>
      <w:bookmarkStart w:id="0" w:name="_GoBack"/>
      <w:bookmarkEnd w:id="0"/>
      <w:r>
        <w:rPr>
          <w:rFonts w:ascii="Times New Roman" w:hAnsi="Times New Roman" w:eastAsia="Times New Roman" w:cs="Times New Roman"/>
          <w:b/>
          <w:sz w:val="28"/>
          <w:szCs w:val="28"/>
          <w:lang w:eastAsia="ru-RU"/>
        </w:rPr>
        <w:t xml:space="preserve">рлиг </w:t>
      </w:r>
      <w:r>
        <w:rPr>
          <w:rFonts w:ascii="Times New Roman" w:hAnsi="Times New Roman" w:eastAsia="Times New Roman" w:cs="Times New Roman"/>
          <w:b/>
          <w:color w:val="333333"/>
          <w:sz w:val="28"/>
          <w:szCs w:val="28"/>
          <w:shd w:val="clear" w:color="auto" w:fill="FFFFFF"/>
          <w:lang w:eastAsia="ru-RU"/>
        </w:rPr>
        <w:t>Пий-Хемского кожууна</w:t>
      </w:r>
      <w:r>
        <w:rPr>
          <w:rFonts w:ascii="Times New Roman" w:hAnsi="Times New Roman" w:eastAsia="Times New Roman" w:cs="Times New Roman"/>
          <w:b/>
          <w:sz w:val="28"/>
          <w:szCs w:val="28"/>
          <w:lang w:eastAsia="ru-RU"/>
        </w:rPr>
        <w:t xml:space="preserve"> </w:t>
      </w:r>
    </w:p>
    <w:p>
      <w:pPr>
        <w:spacing w:before="100" w:beforeAutospacing="1" w:after="100" w:afterAutospacing="1" w:line="240" w:lineRule="auto"/>
        <w:jc w:val="center"/>
        <w:rPr>
          <w:rFonts w:ascii="Times New Roman" w:hAnsi="Times New Roman" w:eastAsia="Times New Roman" w:cs="Times New Roman"/>
          <w:b/>
          <w:color w:val="333333"/>
          <w:sz w:val="28"/>
          <w:szCs w:val="28"/>
          <w:shd w:val="clear" w:color="auto" w:fill="FFFFFF"/>
          <w:lang w:eastAsia="ru-RU"/>
        </w:rPr>
      </w:pPr>
      <w:r>
        <w:rPr>
          <w:rFonts w:ascii="Times New Roman" w:hAnsi="Times New Roman" w:eastAsia="Times New Roman" w:cs="Times New Roman"/>
          <w:b/>
          <w:sz w:val="28"/>
          <w:szCs w:val="28"/>
          <w:lang w:eastAsia="ru-RU"/>
        </w:rPr>
        <w:t>на 2024 – 2026 годы»</w:t>
      </w:r>
    </w:p>
    <w:p>
      <w:pPr>
        <w:spacing w:after="200" w:line="276" w:lineRule="auto"/>
        <w:jc w:val="both"/>
        <w:rPr>
          <w:rFonts w:ascii="Times New Roman" w:hAnsi="Times New Roman" w:eastAsia="Calibri" w:cs="Times New Roman"/>
          <w:color w:val="333333"/>
          <w:sz w:val="28"/>
          <w:szCs w:val="28"/>
          <w:shd w:val="clear" w:color="auto" w:fill="FFFFFF"/>
        </w:rPr>
      </w:pPr>
      <w:r>
        <w:rPr>
          <w:rFonts w:ascii="Times New Roman" w:hAnsi="Times New Roman" w:eastAsia="Calibri" w:cs="Times New Roman"/>
          <w:color w:val="333333"/>
          <w:sz w:val="28"/>
          <w:szCs w:val="28"/>
          <w:shd w:val="clear" w:color="auto" w:fill="FFFFFF"/>
        </w:rPr>
        <w:t xml:space="preserve">           В целях формирования на территории сумона Се</w:t>
      </w:r>
      <w:r>
        <w:rPr>
          <w:rFonts w:ascii="Times New Roman" w:hAnsi="Times New Roman" w:eastAsia="Calibri" w:cs="Times New Roman"/>
          <w:color w:val="333333"/>
          <w:sz w:val="28"/>
          <w:szCs w:val="28"/>
          <w:shd w:val="clear" w:color="auto" w:fill="FFFFFF"/>
          <w:lang w:val="ru-RU"/>
        </w:rPr>
        <w:t>серлиг</w:t>
      </w:r>
      <w:r>
        <w:rPr>
          <w:rFonts w:ascii="Times New Roman" w:hAnsi="Times New Roman" w:eastAsia="Calibri" w:cs="Times New Roman"/>
          <w:color w:val="333333"/>
          <w:sz w:val="28"/>
          <w:szCs w:val="28"/>
          <w:shd w:val="clear" w:color="auto" w:fill="FFFFFF"/>
        </w:rPr>
        <w:t xml:space="preserve"> Пий-Хемского кожууна эффективной многоуровневой системы профилактики терроризма и экстремизма, </w:t>
      </w:r>
      <w:r>
        <w:rPr>
          <w:rFonts w:ascii="Times New Roman" w:hAnsi="Times New Roman" w:eastAsia="Times New Roman" w:cs="Times New Roman"/>
          <w:sz w:val="28"/>
          <w:szCs w:val="28"/>
          <w:lang w:eastAsia="ru-RU"/>
        </w:rPr>
        <w:t>реализации</w:t>
      </w:r>
      <w:r>
        <w:rPr>
          <w:rFonts w:ascii="Times New Roman" w:hAnsi="Times New Roman" w:eastAsia="Calibri" w:cs="Times New Roman"/>
          <w:color w:val="333333"/>
          <w:sz w:val="28"/>
          <w:szCs w:val="28"/>
          <w:shd w:val="clear" w:color="auto" w:fill="FFFFFF"/>
        </w:rPr>
        <w:t xml:space="preserve"> комплекса объединенных единым замыслом адекватных мер по локализации причин и условий, способствующих совершенствованию системы безопасности, воздействию на граждан в направлении формирования их законопослушного поведения и правового воспитания, администрация сельского поселения сумона Се</w:t>
      </w:r>
      <w:r>
        <w:rPr>
          <w:rFonts w:ascii="Times New Roman" w:hAnsi="Times New Roman" w:eastAsia="Calibri" w:cs="Times New Roman"/>
          <w:color w:val="333333"/>
          <w:sz w:val="28"/>
          <w:szCs w:val="28"/>
          <w:shd w:val="clear" w:color="auto" w:fill="FFFFFF"/>
          <w:lang w:val="ru-RU"/>
        </w:rPr>
        <w:t>серлиг</w:t>
      </w:r>
      <w:r>
        <w:rPr>
          <w:rFonts w:ascii="Times New Roman" w:hAnsi="Times New Roman" w:eastAsia="Calibri" w:cs="Times New Roman"/>
          <w:color w:val="333333"/>
          <w:sz w:val="28"/>
          <w:szCs w:val="28"/>
          <w:shd w:val="clear" w:color="auto" w:fill="FFFFFF"/>
        </w:rPr>
        <w:t>, ПОСТАНОВЛЯЕТ:</w:t>
      </w:r>
    </w:p>
    <w:p>
      <w:pPr>
        <w:spacing w:before="100" w:beforeAutospacing="1" w:after="100" w:afterAutospacing="1" w:line="240" w:lineRule="auto"/>
        <w:jc w:val="both"/>
        <w:rPr>
          <w:rFonts w:ascii="Times New Roman" w:hAnsi="Times New Roman" w:eastAsia="Times New Roman" w:cs="Times New Roman"/>
          <w:b/>
          <w:color w:val="333333"/>
          <w:sz w:val="28"/>
          <w:szCs w:val="28"/>
          <w:shd w:val="clear" w:color="auto" w:fill="FFFFFF"/>
          <w:lang w:eastAsia="ru-RU"/>
        </w:rPr>
      </w:pPr>
      <w:r>
        <w:rPr>
          <w:rFonts w:ascii="Times New Roman" w:hAnsi="Times New Roman" w:eastAsia="Calibri" w:cs="Times New Roman"/>
          <w:sz w:val="28"/>
          <w:szCs w:val="28"/>
          <w:lang w:eastAsia="ru-RU"/>
        </w:rPr>
        <w:t>1. Утвердить муниципальную</w:t>
      </w:r>
      <w:r>
        <w:rPr>
          <w:rFonts w:hint="default" w:ascii="Times New Roman" w:hAnsi="Times New Roman" w:eastAsia="Calibri" w:cs="Times New Roman"/>
          <w:sz w:val="28"/>
          <w:szCs w:val="28"/>
          <w:lang w:val="en-US" w:eastAsia="ru-RU"/>
        </w:rPr>
        <w:t xml:space="preserve"> программу</w:t>
      </w:r>
      <w:r>
        <w:rPr>
          <w:rFonts w:ascii="Times New Roman" w:hAnsi="Times New Roman" w:eastAsia="Times New Roman" w:cs="Times New Roman"/>
          <w:b/>
          <w:color w:val="333333"/>
          <w:sz w:val="28"/>
          <w:szCs w:val="28"/>
          <w:shd w:val="clear" w:color="auto" w:fill="FFFFFF"/>
          <w:lang w:eastAsia="ru-RU"/>
        </w:rPr>
        <w:t xml:space="preserve"> </w:t>
      </w:r>
      <w:r>
        <w:rPr>
          <w:rFonts w:ascii="Times New Roman" w:hAnsi="Times New Roman" w:eastAsia="Times New Roman" w:cs="Times New Roman"/>
          <w:sz w:val="28"/>
          <w:szCs w:val="28"/>
          <w:lang w:eastAsia="ru-RU"/>
        </w:rPr>
        <w:t xml:space="preserve">«Профилактика терроризма и экстремизма на территории сельского поселения сумона Сесерлиг </w:t>
      </w:r>
      <w:r>
        <w:rPr>
          <w:rFonts w:ascii="Times New Roman" w:hAnsi="Times New Roman" w:eastAsia="Times New Roman" w:cs="Times New Roman"/>
          <w:sz w:val="28"/>
          <w:szCs w:val="28"/>
          <w:shd w:val="clear" w:color="auto" w:fill="FFFFFF"/>
          <w:lang w:eastAsia="ru-RU"/>
        </w:rPr>
        <w:t>Пий-Хемского кожууна</w:t>
      </w:r>
      <w:r>
        <w:rPr>
          <w:rFonts w:ascii="Times New Roman" w:hAnsi="Times New Roman" w:eastAsia="Times New Roman" w:cs="Times New Roman"/>
          <w:sz w:val="28"/>
          <w:szCs w:val="28"/>
          <w:lang w:eastAsia="ru-RU"/>
        </w:rPr>
        <w:t xml:space="preserve"> на 2024 – 2026 годы» (приложение</w:t>
      </w:r>
      <w:r>
        <w:rPr>
          <w:rFonts w:ascii="Times New Roman" w:hAnsi="Times New Roman" w:eastAsia="Times New Roman" w:cs="Times New Roman"/>
          <w:b/>
          <w:sz w:val="28"/>
          <w:szCs w:val="28"/>
          <w:lang w:eastAsia="ru-RU"/>
        </w:rPr>
        <w:t>).</w:t>
      </w:r>
    </w:p>
    <w:p>
      <w:pPr>
        <w:spacing w:line="240" w:lineRule="auto"/>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2. Контроль за исполнением настоящего постановления оставляю за собой.</w:t>
      </w:r>
    </w:p>
    <w:p>
      <w:pPr>
        <w:spacing w:after="0" w:line="240" w:lineRule="auto"/>
        <w:jc w:val="both"/>
        <w:rPr>
          <w:rFonts w:ascii="Times New Roman" w:hAnsi="Times New Roman" w:eastAsia="Calibri" w:cs="Times New Roman"/>
          <w:sz w:val="28"/>
          <w:szCs w:val="28"/>
        </w:rPr>
      </w:pPr>
    </w:p>
    <w:p>
      <w:pPr>
        <w:spacing w:after="0" w:line="240" w:lineRule="auto"/>
        <w:jc w:val="both"/>
        <w:rPr>
          <w:rFonts w:ascii="Times New Roman" w:hAnsi="Times New Roman" w:eastAsia="Calibri" w:cs="Times New Roman"/>
          <w:sz w:val="28"/>
          <w:szCs w:val="28"/>
        </w:rPr>
      </w:pPr>
    </w:p>
    <w:p>
      <w:pPr>
        <w:spacing w:after="0" w:line="240" w:lineRule="auto"/>
        <w:jc w:val="both"/>
        <w:rPr>
          <w:rFonts w:hint="default" w:ascii="Times New Roman" w:hAnsi="Times New Roman" w:eastAsia="Calibri" w:cs="Times New Roman"/>
          <w:sz w:val="28"/>
          <w:szCs w:val="28"/>
          <w:lang w:val="ru-RU"/>
        </w:rPr>
      </w:pPr>
      <w:r>
        <w:rPr>
          <w:rFonts w:ascii="Times New Roman" w:hAnsi="Times New Roman" w:eastAsia="Calibri" w:cs="Times New Roman"/>
          <w:sz w:val="28"/>
          <w:szCs w:val="28"/>
          <w:lang w:val="ru-RU"/>
        </w:rPr>
        <w:t>Вр</w:t>
      </w:r>
      <w:r>
        <w:rPr>
          <w:rFonts w:hint="default" w:ascii="Times New Roman" w:hAnsi="Times New Roman" w:eastAsia="Calibri" w:cs="Times New Roman"/>
          <w:sz w:val="28"/>
          <w:szCs w:val="28"/>
          <w:lang w:val="ru-RU"/>
        </w:rPr>
        <w:t>.</w:t>
      </w:r>
      <w:r>
        <w:rPr>
          <w:rFonts w:ascii="Times New Roman" w:hAnsi="Times New Roman" w:eastAsia="Calibri" w:cs="Times New Roman"/>
          <w:sz w:val="28"/>
          <w:szCs w:val="28"/>
          <w:lang w:val="ru-RU"/>
        </w:rPr>
        <w:t>и</w:t>
      </w:r>
      <w:r>
        <w:rPr>
          <w:rFonts w:ascii="Times New Roman" w:hAnsi="Times New Roman" w:eastAsia="Calibri" w:cs="Times New Roman"/>
          <w:sz w:val="28"/>
          <w:szCs w:val="28"/>
        </w:rPr>
        <w:t xml:space="preserve">.о.председателя администрации:                                 </w:t>
      </w:r>
      <w:r>
        <w:rPr>
          <w:rFonts w:ascii="Times New Roman" w:hAnsi="Times New Roman" w:eastAsia="Calibri" w:cs="Times New Roman"/>
          <w:sz w:val="28"/>
          <w:szCs w:val="28"/>
          <w:lang w:val="ru-RU"/>
        </w:rPr>
        <w:t>М</w:t>
      </w:r>
      <w:r>
        <w:rPr>
          <w:rFonts w:hint="default" w:ascii="Times New Roman" w:hAnsi="Times New Roman" w:eastAsia="Calibri" w:cs="Times New Roman"/>
          <w:sz w:val="28"/>
          <w:szCs w:val="28"/>
          <w:lang w:val="ru-RU"/>
        </w:rPr>
        <w:t>.С. Ондар</w:t>
      </w:r>
    </w:p>
    <w:p>
      <w:pPr>
        <w:spacing w:after="0" w:line="240" w:lineRule="auto"/>
        <w:jc w:val="both"/>
        <w:rPr>
          <w:rFonts w:ascii="Times New Roman" w:hAnsi="Times New Roman" w:eastAsia="Calibri" w:cs="Times New Roman"/>
          <w:sz w:val="28"/>
          <w:szCs w:val="28"/>
        </w:rPr>
      </w:pPr>
    </w:p>
    <w:p>
      <w:pPr>
        <w:spacing w:after="0" w:line="240" w:lineRule="auto"/>
        <w:rPr>
          <w:rFonts w:ascii="Times New Roman" w:hAnsi="Times New Roman" w:eastAsia="Calibri" w:cs="Times New Roman"/>
          <w:sz w:val="20"/>
          <w:szCs w:val="20"/>
        </w:rPr>
      </w:pPr>
    </w:p>
    <w:p>
      <w:pPr>
        <w:spacing w:after="0" w:line="240" w:lineRule="auto"/>
        <w:rPr>
          <w:rFonts w:ascii="Times New Roman" w:hAnsi="Times New Roman" w:eastAsia="Calibri" w:cs="Times New Roman"/>
          <w:sz w:val="28"/>
          <w:szCs w:val="28"/>
        </w:rPr>
      </w:pPr>
    </w:p>
    <w:p>
      <w:pPr>
        <w:spacing w:after="0" w:line="240" w:lineRule="auto"/>
        <w:rPr>
          <w:rFonts w:ascii="Times New Roman" w:hAnsi="Times New Roman" w:eastAsia="Calibri" w:cs="Times New Roman"/>
          <w:sz w:val="28"/>
          <w:szCs w:val="28"/>
        </w:rPr>
      </w:pPr>
    </w:p>
    <w:p>
      <w:pPr>
        <w:spacing w:after="0" w:line="240" w:lineRule="auto"/>
        <w:rPr>
          <w:rFonts w:ascii="Times New Roman" w:hAnsi="Times New Roman" w:eastAsia="Calibri" w:cs="Times New Roman"/>
          <w:sz w:val="28"/>
          <w:szCs w:val="28"/>
        </w:rPr>
      </w:pPr>
    </w:p>
    <w:p>
      <w:pPr>
        <w:spacing w:after="0" w:line="240" w:lineRule="auto"/>
        <w:rPr>
          <w:rFonts w:ascii="Times New Roman" w:hAnsi="Times New Roman" w:eastAsia="Calibri" w:cs="Times New Roman"/>
          <w:sz w:val="28"/>
          <w:szCs w:val="28"/>
        </w:rPr>
      </w:pPr>
    </w:p>
    <w:p>
      <w:pPr>
        <w:spacing w:after="0" w:line="240" w:lineRule="auto"/>
        <w:rPr>
          <w:rFonts w:ascii="Times New Roman" w:hAnsi="Times New Roman" w:eastAsia="Calibri" w:cs="Times New Roman"/>
          <w:sz w:val="28"/>
          <w:szCs w:val="28"/>
        </w:rPr>
      </w:pPr>
    </w:p>
    <w:p>
      <w:pPr>
        <w:spacing w:after="0" w:line="240" w:lineRule="auto"/>
        <w:rPr>
          <w:rFonts w:ascii="Times New Roman" w:hAnsi="Times New Roman" w:eastAsia="Calibri" w:cs="Times New Roman"/>
          <w:sz w:val="28"/>
          <w:szCs w:val="28"/>
        </w:rPr>
      </w:pPr>
    </w:p>
    <w:p>
      <w:pPr>
        <w:spacing w:after="0" w:line="240" w:lineRule="auto"/>
        <w:rPr>
          <w:rFonts w:ascii="Times New Roman" w:hAnsi="Times New Roman" w:eastAsia="Calibri" w:cs="Times New Roman"/>
          <w:sz w:val="28"/>
          <w:szCs w:val="28"/>
        </w:rPr>
      </w:pPr>
    </w:p>
    <w:p>
      <w:pPr>
        <w:spacing w:after="0" w:line="240" w:lineRule="auto"/>
        <w:rPr>
          <w:rFonts w:ascii="Times New Roman" w:hAnsi="Times New Roman" w:eastAsia="Calibri" w:cs="Times New Roman"/>
          <w:sz w:val="28"/>
          <w:szCs w:val="28"/>
        </w:rPr>
      </w:pPr>
    </w:p>
    <w:p>
      <w:pPr>
        <w:spacing w:before="100" w:beforeAutospacing="1" w:after="100" w:afterAutospacing="1" w:line="240" w:lineRule="auto"/>
        <w:jc w:val="right"/>
        <w:rPr>
          <w:rFonts w:ascii="Times New Roman" w:hAnsi="Times New Roman" w:eastAsia="Times New Roman" w:cs="Times New Roman"/>
          <w:i w:val="0"/>
          <w:iCs/>
          <w:color w:val="333333"/>
          <w:sz w:val="28"/>
          <w:szCs w:val="28"/>
          <w:shd w:val="clear" w:color="auto" w:fill="FFFFFF"/>
          <w:lang w:eastAsia="ru-RU"/>
        </w:rPr>
      </w:pPr>
      <w:r>
        <w:rPr>
          <w:rFonts w:ascii="Times New Roman" w:hAnsi="Times New Roman" w:eastAsia="Times New Roman" w:cs="Times New Roman"/>
          <w:i w:val="0"/>
          <w:iCs/>
          <w:color w:val="333333"/>
          <w:sz w:val="28"/>
          <w:szCs w:val="28"/>
          <w:shd w:val="clear" w:color="auto" w:fill="FFFFFF"/>
          <w:lang w:eastAsia="ru-RU"/>
        </w:rPr>
        <w:t xml:space="preserve">Приложение </w:t>
      </w:r>
    </w:p>
    <w:p>
      <w:pPr>
        <w:spacing w:before="100" w:beforeAutospacing="1" w:after="100" w:afterAutospacing="1" w:line="240" w:lineRule="auto"/>
        <w:jc w:val="right"/>
        <w:rPr>
          <w:rFonts w:hint="default" w:ascii="Times New Roman" w:hAnsi="Times New Roman" w:eastAsia="Times New Roman" w:cs="Times New Roman"/>
          <w:i w:val="0"/>
          <w:iCs/>
          <w:color w:val="333333"/>
          <w:sz w:val="28"/>
          <w:szCs w:val="28"/>
          <w:shd w:val="clear" w:color="auto" w:fill="FFFFFF"/>
          <w:lang w:val="en-US" w:eastAsia="ru-RU"/>
        </w:rPr>
      </w:pPr>
      <w:r>
        <w:rPr>
          <w:rFonts w:ascii="Times New Roman" w:hAnsi="Times New Roman" w:eastAsia="Times New Roman" w:cs="Times New Roman"/>
          <w:i w:val="0"/>
          <w:iCs/>
          <w:color w:val="333333"/>
          <w:sz w:val="28"/>
          <w:szCs w:val="28"/>
          <w:shd w:val="clear" w:color="auto" w:fill="FFFFFF"/>
          <w:lang w:eastAsia="ru-RU"/>
        </w:rPr>
        <w:t>Утверждена</w:t>
      </w:r>
      <w:r>
        <w:rPr>
          <w:rFonts w:hint="default" w:ascii="Times New Roman" w:hAnsi="Times New Roman" w:eastAsia="Times New Roman" w:cs="Times New Roman"/>
          <w:i w:val="0"/>
          <w:iCs/>
          <w:color w:val="333333"/>
          <w:sz w:val="28"/>
          <w:szCs w:val="28"/>
          <w:shd w:val="clear" w:color="auto" w:fill="FFFFFF"/>
          <w:lang w:val="en-US" w:eastAsia="ru-RU"/>
        </w:rPr>
        <w:t xml:space="preserve"> </w:t>
      </w:r>
    </w:p>
    <w:p>
      <w:pPr>
        <w:spacing w:before="100" w:beforeAutospacing="1" w:after="100" w:afterAutospacing="1" w:line="240" w:lineRule="auto"/>
        <w:jc w:val="right"/>
        <w:rPr>
          <w:rFonts w:hint="default" w:ascii="Times New Roman" w:hAnsi="Times New Roman" w:eastAsia="Times New Roman" w:cs="Times New Roman"/>
          <w:i w:val="0"/>
          <w:iCs/>
          <w:color w:val="333333"/>
          <w:sz w:val="28"/>
          <w:szCs w:val="28"/>
          <w:shd w:val="clear" w:color="auto" w:fill="FFFFFF"/>
          <w:lang w:val="en-US" w:eastAsia="ru-RU"/>
        </w:rPr>
      </w:pPr>
      <w:r>
        <w:rPr>
          <w:rFonts w:hint="default" w:ascii="Times New Roman" w:hAnsi="Times New Roman" w:eastAsia="Times New Roman" w:cs="Times New Roman"/>
          <w:i w:val="0"/>
          <w:iCs/>
          <w:color w:val="333333"/>
          <w:sz w:val="28"/>
          <w:szCs w:val="28"/>
          <w:shd w:val="clear" w:color="auto" w:fill="FFFFFF"/>
          <w:lang w:val="en-US" w:eastAsia="ru-RU"/>
        </w:rPr>
        <w:t>постановлением</w:t>
      </w:r>
    </w:p>
    <w:p>
      <w:pPr>
        <w:spacing w:before="100" w:beforeAutospacing="1" w:after="100" w:afterAutospacing="1" w:line="240" w:lineRule="auto"/>
        <w:jc w:val="right"/>
        <w:rPr>
          <w:rFonts w:ascii="Times New Roman" w:hAnsi="Times New Roman" w:eastAsia="Times New Roman" w:cs="Times New Roman"/>
          <w:color w:val="333333"/>
          <w:sz w:val="28"/>
          <w:szCs w:val="28"/>
          <w:shd w:val="clear" w:color="auto" w:fill="FFFFFF"/>
          <w:lang w:eastAsia="ru-RU"/>
        </w:rPr>
      </w:pPr>
      <w:r>
        <w:rPr>
          <w:rFonts w:ascii="Times New Roman" w:hAnsi="Times New Roman" w:eastAsia="Times New Roman" w:cs="Times New Roman"/>
          <w:color w:val="333333"/>
          <w:sz w:val="28"/>
          <w:szCs w:val="28"/>
          <w:shd w:val="clear" w:color="auto" w:fill="FFFFFF"/>
          <w:lang w:eastAsia="ru-RU"/>
        </w:rPr>
        <w:t xml:space="preserve">№ </w:t>
      </w:r>
      <w:r>
        <w:rPr>
          <w:rFonts w:hint="default" w:ascii="Times New Roman" w:hAnsi="Times New Roman" w:eastAsia="Times New Roman" w:cs="Times New Roman"/>
          <w:color w:val="333333"/>
          <w:sz w:val="28"/>
          <w:szCs w:val="28"/>
          <w:shd w:val="clear" w:color="auto" w:fill="FFFFFF"/>
          <w:lang w:val="en-US" w:eastAsia="ru-RU"/>
        </w:rPr>
        <w:t>24</w:t>
      </w:r>
      <w:r>
        <w:rPr>
          <w:rFonts w:ascii="Times New Roman" w:hAnsi="Times New Roman" w:eastAsia="Times New Roman" w:cs="Times New Roman"/>
          <w:color w:val="333333"/>
          <w:sz w:val="28"/>
          <w:szCs w:val="28"/>
          <w:shd w:val="clear" w:color="auto" w:fill="FFFFFF"/>
          <w:lang w:eastAsia="ru-RU"/>
        </w:rPr>
        <w:t xml:space="preserve"> от </w:t>
      </w:r>
      <w:r>
        <w:rPr>
          <w:rFonts w:hint="default" w:ascii="Times New Roman" w:hAnsi="Times New Roman" w:eastAsia="Times New Roman" w:cs="Times New Roman"/>
          <w:color w:val="333333"/>
          <w:sz w:val="28"/>
          <w:szCs w:val="28"/>
          <w:shd w:val="clear" w:color="auto" w:fill="FFFFFF"/>
          <w:lang w:val="en-US" w:eastAsia="ru-RU"/>
        </w:rPr>
        <w:t>26.12</w:t>
      </w:r>
      <w:r>
        <w:rPr>
          <w:rFonts w:ascii="Times New Roman" w:hAnsi="Times New Roman" w:eastAsia="Times New Roman" w:cs="Times New Roman"/>
          <w:color w:val="333333"/>
          <w:sz w:val="28"/>
          <w:szCs w:val="28"/>
          <w:shd w:val="clear" w:color="auto" w:fill="FFFFFF"/>
          <w:lang w:eastAsia="ru-RU"/>
        </w:rPr>
        <w:t>.2023 года</w:t>
      </w: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center"/>
        <w:rPr>
          <w:rFonts w:hint="default" w:ascii="Times New Roman" w:hAnsi="Times New Roman" w:eastAsia="Times New Roman" w:cs="Times New Roman"/>
          <w:color w:val="333333"/>
          <w:sz w:val="28"/>
          <w:szCs w:val="28"/>
          <w:shd w:val="clear" w:color="auto" w:fill="FFFFFF"/>
          <w:lang w:val="en-US" w:eastAsia="ru-RU"/>
        </w:rPr>
      </w:pPr>
      <w:r>
        <w:rPr>
          <w:rFonts w:ascii="Times New Roman" w:hAnsi="Times New Roman" w:eastAsia="Times New Roman" w:cs="Times New Roman"/>
          <w:color w:val="333333"/>
          <w:sz w:val="28"/>
          <w:szCs w:val="28"/>
          <w:shd w:val="clear" w:color="auto" w:fill="FFFFFF"/>
          <w:lang w:eastAsia="ru-RU"/>
        </w:rPr>
        <w:t>Российская</w:t>
      </w:r>
      <w:r>
        <w:rPr>
          <w:rFonts w:hint="default" w:ascii="Times New Roman" w:hAnsi="Times New Roman" w:eastAsia="Times New Roman" w:cs="Times New Roman"/>
          <w:color w:val="333333"/>
          <w:sz w:val="28"/>
          <w:szCs w:val="28"/>
          <w:shd w:val="clear" w:color="auto" w:fill="FFFFFF"/>
          <w:lang w:val="en-US" w:eastAsia="ru-RU"/>
        </w:rPr>
        <w:t xml:space="preserve"> Федерация</w:t>
      </w:r>
    </w:p>
    <w:p>
      <w:pPr>
        <w:spacing w:before="100" w:beforeAutospacing="1" w:after="100" w:afterAutospacing="1" w:line="240" w:lineRule="auto"/>
        <w:jc w:val="center"/>
        <w:rPr>
          <w:rFonts w:hint="default" w:ascii="Times New Roman" w:hAnsi="Times New Roman" w:eastAsia="Times New Roman" w:cs="Times New Roman"/>
          <w:color w:val="333333"/>
          <w:sz w:val="28"/>
          <w:szCs w:val="28"/>
          <w:shd w:val="clear" w:color="auto" w:fill="FFFFFF"/>
          <w:lang w:val="en-US" w:eastAsia="ru-RU"/>
        </w:rPr>
      </w:pPr>
      <w:r>
        <w:rPr>
          <w:rFonts w:hint="default" w:ascii="Times New Roman" w:hAnsi="Times New Roman" w:eastAsia="Times New Roman" w:cs="Times New Roman"/>
          <w:color w:val="333333"/>
          <w:sz w:val="28"/>
          <w:szCs w:val="28"/>
          <w:shd w:val="clear" w:color="auto" w:fill="FFFFFF"/>
          <w:lang w:val="en-US" w:eastAsia="ru-RU"/>
        </w:rPr>
        <w:t>Республика Тыва</w:t>
      </w:r>
    </w:p>
    <w:p>
      <w:pPr>
        <w:spacing w:before="100" w:beforeAutospacing="1" w:after="100" w:afterAutospacing="1" w:line="240" w:lineRule="auto"/>
        <w:jc w:val="center"/>
        <w:rPr>
          <w:rFonts w:hint="default" w:ascii="Times New Roman" w:hAnsi="Times New Roman" w:eastAsia="Times New Roman" w:cs="Times New Roman"/>
          <w:color w:val="333333"/>
          <w:sz w:val="28"/>
          <w:szCs w:val="28"/>
          <w:shd w:val="clear" w:color="auto" w:fill="FFFFFF"/>
          <w:lang w:val="en-US" w:eastAsia="ru-RU"/>
        </w:rPr>
      </w:pPr>
      <w:r>
        <w:rPr>
          <w:rFonts w:hint="default" w:ascii="Times New Roman" w:hAnsi="Times New Roman" w:eastAsia="Times New Roman" w:cs="Times New Roman"/>
          <w:color w:val="333333"/>
          <w:sz w:val="28"/>
          <w:szCs w:val="28"/>
          <w:shd w:val="clear" w:color="auto" w:fill="FFFFFF"/>
          <w:lang w:val="en-US" w:eastAsia="ru-RU"/>
        </w:rPr>
        <w:t>Пий - Хемский кожуун</w:t>
      </w:r>
    </w:p>
    <w:p>
      <w:pPr>
        <w:spacing w:before="100" w:beforeAutospacing="1" w:after="100" w:afterAutospacing="1" w:line="240" w:lineRule="auto"/>
        <w:jc w:val="center"/>
        <w:rPr>
          <w:rFonts w:hint="default" w:ascii="Times New Roman" w:hAnsi="Times New Roman" w:eastAsia="Times New Roman" w:cs="Times New Roman"/>
          <w:color w:val="333333"/>
          <w:sz w:val="28"/>
          <w:szCs w:val="28"/>
          <w:shd w:val="clear" w:color="auto" w:fill="FFFFFF"/>
          <w:lang w:val="en-US" w:eastAsia="ru-RU"/>
        </w:rPr>
      </w:pPr>
      <w:r>
        <w:rPr>
          <w:rFonts w:hint="default" w:ascii="Times New Roman" w:hAnsi="Times New Roman" w:eastAsia="Times New Roman" w:cs="Times New Roman"/>
          <w:color w:val="333333"/>
          <w:sz w:val="28"/>
          <w:szCs w:val="28"/>
          <w:shd w:val="clear" w:color="auto" w:fill="FFFFFF"/>
          <w:lang w:val="en-US" w:eastAsia="ru-RU"/>
        </w:rPr>
        <w:t>Администрация сельского поселения сумона Сесерлиг</w:t>
      </w: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center"/>
        <w:rPr>
          <w:rFonts w:ascii="Times New Roman" w:hAnsi="Times New Roman" w:eastAsia="Times New Roman" w:cs="Times New Roman"/>
          <w:b/>
          <w:color w:val="333333"/>
          <w:sz w:val="28"/>
          <w:szCs w:val="28"/>
          <w:shd w:val="clear" w:color="auto" w:fill="FFFFFF"/>
          <w:lang w:eastAsia="ru-RU"/>
        </w:rPr>
      </w:pPr>
      <w:r>
        <w:rPr>
          <w:rFonts w:ascii="Times New Roman" w:hAnsi="Times New Roman" w:eastAsia="Times New Roman" w:cs="Times New Roman"/>
          <w:b/>
          <w:color w:val="333333"/>
          <w:sz w:val="28"/>
          <w:szCs w:val="28"/>
          <w:shd w:val="clear" w:color="auto" w:fill="FFFFFF"/>
          <w:lang w:eastAsia="ru-RU"/>
        </w:rPr>
        <w:t>МУНИЦИПАЛЬНАЯ ПРОГРАММА</w:t>
      </w:r>
    </w:p>
    <w:p>
      <w:pPr>
        <w:spacing w:before="100" w:beforeAutospacing="1" w:after="100" w:afterAutospacing="1"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«Профилактика терроризма и экстремизма на территории </w:t>
      </w:r>
    </w:p>
    <w:p>
      <w:pPr>
        <w:spacing w:before="100" w:beforeAutospacing="1" w:after="100" w:afterAutospacing="1"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сельского поселения сумона Сесерлиг </w:t>
      </w:r>
      <w:r>
        <w:rPr>
          <w:rFonts w:ascii="Times New Roman" w:hAnsi="Times New Roman" w:eastAsia="Times New Roman" w:cs="Times New Roman"/>
          <w:b/>
          <w:color w:val="333333"/>
          <w:sz w:val="28"/>
          <w:szCs w:val="28"/>
          <w:shd w:val="clear" w:color="auto" w:fill="FFFFFF"/>
          <w:lang w:eastAsia="ru-RU"/>
        </w:rPr>
        <w:t>Пий-Хемского кожууна</w:t>
      </w:r>
      <w:r>
        <w:rPr>
          <w:rFonts w:ascii="Times New Roman" w:hAnsi="Times New Roman" w:eastAsia="Times New Roman" w:cs="Times New Roman"/>
          <w:b/>
          <w:sz w:val="28"/>
          <w:szCs w:val="28"/>
          <w:lang w:eastAsia="ru-RU"/>
        </w:rPr>
        <w:t xml:space="preserve"> </w:t>
      </w:r>
    </w:p>
    <w:p>
      <w:pPr>
        <w:spacing w:before="100" w:beforeAutospacing="1" w:after="100" w:afterAutospacing="1" w:line="240" w:lineRule="auto"/>
        <w:jc w:val="center"/>
        <w:rPr>
          <w:rFonts w:ascii="Times New Roman" w:hAnsi="Times New Roman" w:eastAsia="Times New Roman" w:cs="Times New Roman"/>
          <w:b/>
          <w:color w:val="333333"/>
          <w:sz w:val="28"/>
          <w:szCs w:val="28"/>
          <w:shd w:val="clear" w:color="auto" w:fill="FFFFFF"/>
          <w:lang w:eastAsia="ru-RU"/>
        </w:rPr>
      </w:pPr>
      <w:r>
        <w:rPr>
          <w:rFonts w:ascii="Times New Roman" w:hAnsi="Times New Roman" w:eastAsia="Times New Roman" w:cs="Times New Roman"/>
          <w:b/>
          <w:sz w:val="28"/>
          <w:szCs w:val="28"/>
          <w:lang w:eastAsia="ru-RU"/>
        </w:rPr>
        <w:t>на 2024 – 2026 годы»</w:t>
      </w: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center"/>
        <w:rPr>
          <w:rFonts w:ascii="Times New Roman" w:hAnsi="Times New Roman" w:eastAsia="Times New Roman" w:cs="Times New Roman"/>
          <w:color w:val="333333"/>
          <w:sz w:val="28"/>
          <w:szCs w:val="28"/>
          <w:shd w:val="clear" w:color="auto" w:fill="FFFFFF"/>
          <w:lang w:eastAsia="ru-RU"/>
        </w:rPr>
      </w:pPr>
    </w:p>
    <w:p>
      <w:pPr>
        <w:spacing w:before="100" w:beforeAutospacing="1" w:after="100" w:afterAutospacing="1" w:line="240" w:lineRule="auto"/>
        <w:jc w:val="both"/>
        <w:rPr>
          <w:rFonts w:ascii="Times New Roman" w:hAnsi="Times New Roman" w:eastAsia="Times New Roman" w:cs="Times New Roman"/>
          <w:color w:val="333333"/>
          <w:sz w:val="28"/>
          <w:szCs w:val="28"/>
          <w:shd w:val="clear" w:color="auto" w:fill="FFFFFF"/>
          <w:lang w:eastAsia="ru-RU"/>
        </w:rPr>
      </w:pPr>
    </w:p>
    <w:p>
      <w:pPr>
        <w:spacing w:after="0" w:line="240" w:lineRule="auto"/>
        <w:jc w:val="center"/>
        <w:rPr>
          <w:rFonts w:ascii="Times New Roman" w:hAnsi="Times New Roman" w:eastAsia="Times New Roman" w:cs="Times New Roman"/>
          <w:b/>
          <w:bCs/>
          <w:color w:val="333333"/>
          <w:sz w:val="24"/>
          <w:szCs w:val="24"/>
          <w:shd w:val="clear" w:color="auto" w:fill="FFFFFF"/>
          <w:lang w:eastAsia="ru-RU"/>
        </w:rPr>
      </w:pPr>
      <w:r>
        <w:rPr>
          <w:rFonts w:ascii="Times New Roman" w:hAnsi="Times New Roman" w:eastAsia="Times New Roman" w:cs="Times New Roman"/>
          <w:b/>
          <w:bCs/>
          <w:color w:val="333333"/>
          <w:sz w:val="24"/>
          <w:szCs w:val="24"/>
          <w:shd w:val="clear" w:color="auto" w:fill="FFFFFF"/>
          <w:lang w:eastAsia="ru-RU"/>
        </w:rPr>
        <w:t>ПАСПОРТ</w:t>
      </w:r>
    </w:p>
    <w:p>
      <w:pPr>
        <w:spacing w:after="0" w:line="240" w:lineRule="auto"/>
        <w:jc w:val="center"/>
        <w:rPr>
          <w:rFonts w:ascii="Times New Roman" w:hAnsi="Times New Roman" w:eastAsia="Times New Roman" w:cs="Times New Roman"/>
          <w:b/>
          <w:bCs/>
          <w:color w:val="333333"/>
          <w:sz w:val="24"/>
          <w:szCs w:val="24"/>
          <w:shd w:val="clear" w:color="auto" w:fill="FFFFFF"/>
          <w:lang w:eastAsia="ru-RU"/>
        </w:rPr>
      </w:pPr>
    </w:p>
    <w:p>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Муниципальная программа «Профилактика терроризма и экстремизма» на территории сельского поселения сумона Сесерлиг </w:t>
      </w:r>
      <w:r>
        <w:rPr>
          <w:rFonts w:ascii="Times New Roman" w:hAnsi="Times New Roman" w:eastAsia="Times New Roman" w:cs="Times New Roman"/>
          <w:color w:val="333333"/>
          <w:sz w:val="24"/>
          <w:szCs w:val="24"/>
          <w:shd w:val="clear" w:color="auto" w:fill="FFFFFF"/>
          <w:lang w:eastAsia="ru-RU"/>
        </w:rPr>
        <w:t>Пий-Хемского кожууна</w:t>
      </w:r>
      <w:r>
        <w:rPr>
          <w:rFonts w:ascii="Times New Roman" w:hAnsi="Times New Roman" w:eastAsia="Times New Roman" w:cs="Times New Roman"/>
          <w:sz w:val="24"/>
          <w:szCs w:val="24"/>
          <w:lang w:eastAsia="ru-RU"/>
        </w:rPr>
        <w:t xml:space="preserve"> на 2024 – 2026 годы»</w:t>
      </w:r>
    </w:p>
    <w:p>
      <w:pPr>
        <w:spacing w:after="0" w:line="240" w:lineRule="auto"/>
        <w:jc w:val="center"/>
        <w:rPr>
          <w:rFonts w:ascii="Times New Roman" w:hAnsi="Times New Roman" w:eastAsia="Times New Roman" w:cs="Times New Roman"/>
          <w:sz w:val="24"/>
          <w:szCs w:val="24"/>
          <w:lang w:eastAsia="ru-RU"/>
        </w:rPr>
      </w:pPr>
    </w:p>
    <w:tbl>
      <w:tblPr>
        <w:tblStyle w:val="3"/>
        <w:tblW w:w="0" w:type="auto"/>
        <w:tblInd w:w="-252" w:type="dxa"/>
        <w:tblLayout w:type="autofit"/>
        <w:tblCellMar>
          <w:top w:w="0" w:type="dxa"/>
          <w:left w:w="0" w:type="dxa"/>
          <w:bottom w:w="0" w:type="dxa"/>
          <w:right w:w="0" w:type="dxa"/>
        </w:tblCellMar>
      </w:tblPr>
      <w:tblGrid>
        <w:gridCol w:w="4500"/>
        <w:gridCol w:w="5323"/>
      </w:tblGrid>
      <w:tr>
        <w:tblPrEx>
          <w:tblCellMar>
            <w:top w:w="0" w:type="dxa"/>
            <w:left w:w="0" w:type="dxa"/>
            <w:bottom w:w="0" w:type="dxa"/>
            <w:right w:w="0" w:type="dxa"/>
          </w:tblCellMar>
        </w:tblPrEx>
        <w:tc>
          <w:tcPr>
            <w:tcW w:w="450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333333"/>
                <w:sz w:val="24"/>
                <w:szCs w:val="24"/>
                <w:shd w:val="clear" w:color="auto" w:fill="FFFFFF"/>
                <w:lang w:eastAsia="ru-RU"/>
              </w:rPr>
              <w:t> </w:t>
            </w:r>
            <w:r>
              <w:rPr>
                <w:rFonts w:ascii="Times New Roman" w:hAnsi="Times New Roman" w:eastAsia="Times New Roman" w:cs="Times New Roman"/>
                <w:sz w:val="24"/>
                <w:szCs w:val="24"/>
                <w:lang w:eastAsia="ru-RU"/>
              </w:rPr>
              <w:t>Наименование</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программы</w:t>
            </w:r>
          </w:p>
        </w:tc>
        <w:tc>
          <w:tcPr>
            <w:tcW w:w="5323" w:type="dxa"/>
            <w:tcBorders>
              <w:top w:val="single" w:color="000000" w:sz="8" w:space="0"/>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Муниципальная программа «Профилактика терроризма и экстремизма на территории сельского поселения сумона Сесерлиг </w:t>
            </w:r>
            <w:r>
              <w:rPr>
                <w:rFonts w:ascii="Times New Roman" w:hAnsi="Times New Roman" w:eastAsia="Times New Roman" w:cs="Times New Roman"/>
                <w:color w:val="333333"/>
                <w:sz w:val="24"/>
                <w:szCs w:val="24"/>
                <w:shd w:val="clear" w:color="auto" w:fill="FFFFFF"/>
                <w:lang w:eastAsia="ru-RU"/>
              </w:rPr>
              <w:t>Пий-Хемского кожууна</w:t>
            </w:r>
            <w:r>
              <w:rPr>
                <w:rFonts w:ascii="Times New Roman" w:hAnsi="Times New Roman" w:eastAsia="Times New Roman" w:cs="Times New Roman"/>
                <w:sz w:val="24"/>
                <w:szCs w:val="24"/>
                <w:lang w:eastAsia="ru-RU"/>
              </w:rPr>
              <w:t xml:space="preserve"> на 2024 – 2026 годы» (далее Программа) </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Основание для разработки</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служебная записка  </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Заказчик</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Программы – координатор</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Администрация сельского поселения сумона Сесерлиг </w:t>
            </w:r>
            <w:r>
              <w:rPr>
                <w:rFonts w:ascii="Times New Roman" w:hAnsi="Times New Roman" w:eastAsia="Times New Roman" w:cs="Times New Roman"/>
                <w:color w:val="333333"/>
                <w:sz w:val="24"/>
                <w:szCs w:val="24"/>
                <w:shd w:val="clear" w:color="auto" w:fill="FFFFFF"/>
                <w:lang w:eastAsia="ru-RU"/>
              </w:rPr>
              <w:t>Пий-Хемского кожууна</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Разработчик</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Программы</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Администрация сельского поселения сумона Сесерлиг </w:t>
            </w:r>
            <w:r>
              <w:rPr>
                <w:rFonts w:ascii="Times New Roman" w:hAnsi="Times New Roman" w:eastAsia="Times New Roman" w:cs="Times New Roman"/>
                <w:color w:val="333333"/>
                <w:sz w:val="24"/>
                <w:szCs w:val="24"/>
                <w:shd w:val="clear" w:color="auto" w:fill="FFFFFF"/>
                <w:lang w:eastAsia="ru-RU"/>
              </w:rPr>
              <w:t>Пий-Хемского кожууна</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Основная цель</w:t>
            </w:r>
          </w:p>
          <w:p>
            <w:pPr>
              <w:spacing w:after="0" w:line="240" w:lineRule="auto"/>
              <w:ind w:firstLine="708"/>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формирование эффективной многоуровневой системы профилактики террористической деятельности на территории поселения</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Основные задачи</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формирование в </w:t>
            </w:r>
            <w:r>
              <w:rPr>
                <w:rFonts w:ascii="Times New Roman" w:hAnsi="Times New Roman" w:eastAsia="Times New Roman" w:cs="Times New Roman"/>
                <w:color w:val="333333"/>
                <w:sz w:val="24"/>
                <w:szCs w:val="24"/>
                <w:shd w:val="clear" w:color="auto" w:fill="FFFFFF"/>
                <w:lang w:eastAsia="ru-RU"/>
              </w:rPr>
              <w:t>поселении</w:t>
            </w:r>
            <w:r>
              <w:rPr>
                <w:rFonts w:ascii="Times New Roman" w:hAnsi="Times New Roman" w:eastAsia="Times New Roman" w:cs="Times New Roman"/>
                <w:sz w:val="24"/>
                <w:szCs w:val="24"/>
                <w:lang w:eastAsia="ru-RU"/>
              </w:rPr>
              <w:t xml:space="preserve"> позитивных ценностей и установок, направленных на уважение, принятие и понимание богатого многообразия культур народов России, их традиций и этнических ценностей; </w:t>
            </w:r>
          </w:p>
        </w:tc>
      </w:tr>
      <w:tr>
        <w:tblPrEx>
          <w:tblCellMar>
            <w:top w:w="0" w:type="dxa"/>
            <w:left w:w="0" w:type="dxa"/>
            <w:bottom w:w="0" w:type="dxa"/>
            <w:right w:w="0" w:type="dxa"/>
          </w:tblCellMar>
        </w:tblPrEx>
        <w:trPr>
          <w:trHeight w:val="775" w:hRule="atLeast"/>
        </w:trPr>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Сроки реализации Программы</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Программа рассчитана                                             на 2024 – 2026 годы </w:t>
            </w:r>
          </w:p>
        </w:tc>
      </w:tr>
      <w:tr>
        <w:tblPrEx>
          <w:tblCellMar>
            <w:top w:w="0" w:type="dxa"/>
            <w:left w:w="0" w:type="dxa"/>
            <w:bottom w:w="0" w:type="dxa"/>
            <w:right w:w="0" w:type="dxa"/>
          </w:tblCellMar>
        </w:tblPrEx>
        <w:trPr>
          <w:trHeight w:val="989" w:hRule="atLeast"/>
        </w:trPr>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Программа</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включает 3 этапа:</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1-й этап – 2024 год;</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2-й этап – 2025 год;</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3-й этап – 2026 год;</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Структура</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Программы:</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Раздел I. Содержание проблемы и обоснование необходимости ее решения программными методами;</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Раздел II. Основные цели и задачи, сроки и этапы реализации Программы, а также целевые индикаторы и показатели;</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Раздел III. Система программных мероприятий;</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Раздел IV. Нормативное</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обеспечение;</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Раздел V. Механизм реализации Программы, организация управления Программой и контроль</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 ходом ее реализации;</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Раздел VI. Оценка эффективности социально-экономических и экологических последствий от</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реализации Программы;</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Приложение № 1. Перечень мероприятий по реализации Программы;</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Приложение № 2. Распределение объемов финансирования Программы;</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Программа не содержит подпрограмм.</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Исполнители и соисполнители мероприятий Программы:</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Администрация сельского поселения сумона Сесерлиг;</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МБОУ</w:t>
            </w:r>
            <w:r>
              <w:rPr>
                <w:rFonts w:hint="default" w:ascii="Times New Roman" w:hAnsi="Times New Roman" w:eastAsia="Times New Roman" w:cs="Times New Roman"/>
                <w:sz w:val="24"/>
                <w:szCs w:val="24"/>
                <w:lang w:val="en-US" w:eastAsia="ru-RU"/>
              </w:rPr>
              <w:t xml:space="preserve"> Сесерлигская</w:t>
            </w:r>
            <w:r>
              <w:rPr>
                <w:rFonts w:ascii="Times New Roman" w:hAnsi="Times New Roman" w:eastAsia="Times New Roman" w:cs="Times New Roman"/>
                <w:sz w:val="24"/>
                <w:szCs w:val="24"/>
                <w:lang w:eastAsia="ru-RU"/>
              </w:rPr>
              <w:t xml:space="preserve"> СОШ</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МБДОУ детский сад «Салгал» с.Сесерлиг  </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МБУ СДК с.Сесерлиг</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ФАП с.Сесерлиг</w:t>
            </w:r>
          </w:p>
        </w:tc>
      </w:tr>
      <w:tr>
        <w:tblPrEx>
          <w:tblCellMar>
            <w:top w:w="0" w:type="dxa"/>
            <w:left w:w="0" w:type="dxa"/>
            <w:bottom w:w="0" w:type="dxa"/>
            <w:right w:w="0" w:type="dxa"/>
          </w:tblCellMar>
        </w:tblPrEx>
        <w:trPr>
          <w:trHeight w:val="3414" w:hRule="atLeast"/>
        </w:trPr>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Объемы и источники – финансирование мероприятий Программы</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pPr>
              <w:spacing w:after="0" w:line="240" w:lineRule="auto"/>
              <w:jc w:val="both"/>
              <w:rPr>
                <w:rFonts w:ascii="Times New Roman" w:hAnsi="Times New Roman" w:eastAsia="Times New Roman" w:cs="Times New Roman"/>
                <w:sz w:val="24"/>
                <w:szCs w:val="24"/>
                <w:lang w:eastAsia="ru-RU"/>
              </w:rPr>
            </w:pPr>
          </w:p>
          <w:p>
            <w:pPr>
              <w:spacing w:after="0" w:line="240" w:lineRule="auto"/>
              <w:jc w:val="both"/>
              <w:rPr>
                <w:rFonts w:ascii="Times New Roman" w:hAnsi="Times New Roman" w:eastAsia="Times New Roman" w:cs="Times New Roman"/>
                <w:sz w:val="24"/>
                <w:szCs w:val="24"/>
                <w:lang w:eastAsia="ru-RU"/>
              </w:rPr>
            </w:pP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финансирование Программы осуществляется за счет средств местного бюджета, предусмотренных Программой на очередной финансовый год. </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Объем средств местного бюджета, необходимый для финансирования Программы, </w:t>
            </w:r>
            <w:r>
              <w:rPr>
                <w:rFonts w:ascii="Times New Roman" w:hAnsi="Times New Roman" w:eastAsia="Times New Roman" w:cs="Times New Roman"/>
                <w:color w:val="000000"/>
                <w:sz w:val="24"/>
                <w:szCs w:val="24"/>
                <w:lang w:eastAsia="ru-RU"/>
              </w:rPr>
              <w:t>составляет:</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всего в 2020 – 2022 годах _</w:t>
            </w:r>
            <w:r>
              <w:rPr>
                <w:rFonts w:ascii="Times New Roman" w:hAnsi="Times New Roman" w:eastAsia="Times New Roman" w:cs="Times New Roman"/>
                <w:color w:val="000000"/>
                <w:sz w:val="24"/>
                <w:szCs w:val="24"/>
                <w:u w:val="single"/>
                <w:lang w:eastAsia="ru-RU"/>
              </w:rPr>
              <w:t>5 (пять</w:t>
            </w:r>
            <w:r>
              <w:rPr>
                <w:rFonts w:ascii="Times New Roman" w:hAnsi="Times New Roman" w:eastAsia="Times New Roman" w:cs="Times New Roman"/>
                <w:color w:val="000000"/>
                <w:sz w:val="24"/>
                <w:szCs w:val="24"/>
                <w:lang w:eastAsia="ru-RU"/>
              </w:rPr>
              <w:t>)_тыс. рублей, в том числе по годам реализации:</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2024 год – 3000 рублей;</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2025 год – 1000 рублей;</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2026 год – 1000 рублей;</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Ожидаемые конечные результаты реализации Программы</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создание должной системы </w:t>
            </w:r>
            <w:r>
              <w:rPr>
                <w:rFonts w:ascii="Times New Roman" w:hAnsi="Times New Roman" w:eastAsia="Times New Roman" w:cs="Times New Roman"/>
                <w:color w:val="000000"/>
                <w:sz w:val="24"/>
                <w:szCs w:val="24"/>
                <w:lang w:eastAsia="ru-RU"/>
              </w:rPr>
              <w:t>безопасности граждан при возникновении угрозы террористических актов и экстремистских проявлений</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Система организации контроля за исполнением программы</w:t>
            </w:r>
          </w:p>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непосредственное управление Программой осуществляет разработчик. Контроль за реализацией программы осуществляет Администрация сельского поселения сумона Сесерлиг </w:t>
            </w:r>
            <w:r>
              <w:rPr>
                <w:rFonts w:ascii="Times New Roman" w:hAnsi="Times New Roman" w:eastAsia="Times New Roman" w:cs="Times New Roman"/>
                <w:color w:val="333333"/>
                <w:sz w:val="24"/>
                <w:szCs w:val="24"/>
                <w:shd w:val="clear" w:color="auto" w:fill="FFFFFF"/>
                <w:lang w:eastAsia="ru-RU"/>
              </w:rPr>
              <w:t>Пий-Хемского кожууна</w:t>
            </w:r>
            <w:r>
              <w:rPr>
                <w:rFonts w:ascii="Times New Roman" w:hAnsi="Times New Roman" w:eastAsia="Times New Roman" w:cs="Times New Roman"/>
                <w:sz w:val="24"/>
                <w:szCs w:val="24"/>
                <w:lang w:eastAsia="ru-RU"/>
              </w:rPr>
              <w:t>.</w:t>
            </w:r>
          </w:p>
        </w:tc>
      </w:tr>
      <w:tr>
        <w:tblPrEx>
          <w:tblCellMar>
            <w:top w:w="0" w:type="dxa"/>
            <w:left w:w="0" w:type="dxa"/>
            <w:bottom w:w="0" w:type="dxa"/>
            <w:right w:w="0" w:type="dxa"/>
          </w:tblCellMar>
        </w:tblPrEx>
        <w:tc>
          <w:tcPr>
            <w:tcW w:w="45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Примечание:</w:t>
            </w:r>
          </w:p>
        </w:tc>
        <w:tc>
          <w:tcPr>
            <w:tcW w:w="5323" w:type="dxa"/>
            <w:tcBorders>
              <w:top w:val="nil"/>
              <w:left w:val="nil"/>
              <w:bottom w:val="single" w:color="000000" w:sz="8" w:space="0"/>
              <w:right w:val="single" w:color="000000" w:sz="8" w:space="0"/>
            </w:tcBorders>
            <w:tcMar>
              <w:top w:w="0" w:type="dxa"/>
              <w:left w:w="108" w:type="dxa"/>
              <w:bottom w:w="0" w:type="dxa"/>
              <w:right w:w="108"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бюджетные ассигнования, запланированные на 2024-2026 годы, носят прогнозный характер и подлежат уточнению в установленном порядке при формировании бюджета  сумона на очередной финансовый период исходя из финансовых возможностей бюджета сумона и с учетом изменений действующего законодательства </w:t>
            </w:r>
          </w:p>
        </w:tc>
      </w:tr>
    </w:tbl>
    <w:p>
      <w:pPr>
        <w:spacing w:after="0" w:line="240" w:lineRule="auto"/>
        <w:jc w:val="center"/>
        <w:rPr>
          <w:rFonts w:ascii="Times New Roman" w:hAnsi="Times New Roman" w:eastAsia="Times New Roman" w:cs="Times New Roman"/>
          <w:b/>
          <w:bCs/>
          <w:color w:val="000000"/>
          <w:sz w:val="24"/>
          <w:szCs w:val="24"/>
          <w:shd w:val="clear" w:color="auto" w:fill="FFFFFF"/>
          <w:lang w:eastAsia="ru-RU"/>
        </w:rPr>
      </w:pPr>
      <w:r>
        <w:rPr>
          <w:rFonts w:ascii="Times New Roman" w:hAnsi="Times New Roman" w:eastAsia="Times New Roman" w:cs="Times New Roman"/>
          <w:b/>
          <w:bCs/>
          <w:color w:val="000000"/>
          <w:sz w:val="24"/>
          <w:szCs w:val="24"/>
          <w:shd w:val="clear" w:color="auto" w:fill="FFFFFF"/>
          <w:lang w:eastAsia="ru-RU"/>
        </w:rPr>
        <w:t> </w:t>
      </w:r>
    </w:p>
    <w:p>
      <w:pPr>
        <w:spacing w:after="0" w:line="240" w:lineRule="auto"/>
        <w:jc w:val="center"/>
        <w:rPr>
          <w:rFonts w:ascii="Times New Roman" w:hAnsi="Times New Roman" w:eastAsia="Times New Roman" w:cs="Times New Roman"/>
          <w:b/>
          <w:bCs/>
          <w:color w:val="000000"/>
          <w:sz w:val="24"/>
          <w:szCs w:val="24"/>
          <w:shd w:val="clear" w:color="auto" w:fill="FFFFFF"/>
          <w:lang w:eastAsia="ru-RU"/>
        </w:rPr>
      </w:pPr>
      <w:r>
        <w:rPr>
          <w:rFonts w:ascii="Times New Roman" w:hAnsi="Times New Roman" w:eastAsia="Times New Roman" w:cs="Times New Roman"/>
          <w:b/>
          <w:bCs/>
          <w:color w:val="000000"/>
          <w:sz w:val="24"/>
          <w:szCs w:val="24"/>
          <w:shd w:val="clear" w:color="auto" w:fill="FFFFFF"/>
          <w:lang w:eastAsia="ru-RU"/>
        </w:rPr>
        <w:t>РАЗДЕЛ I. Содержание проблемы и обоснование необходимости ее решения программными методами</w:t>
      </w:r>
    </w:p>
    <w:p>
      <w:pPr>
        <w:spacing w:after="0" w:line="240" w:lineRule="auto"/>
        <w:jc w:val="center"/>
        <w:rPr>
          <w:rFonts w:ascii="Times New Roman" w:hAnsi="Times New Roman" w:eastAsia="Times New Roman" w:cs="Times New Roman"/>
          <w:b/>
          <w:bCs/>
          <w:color w:val="000000"/>
          <w:sz w:val="24"/>
          <w:szCs w:val="24"/>
          <w:shd w:val="clear" w:color="auto" w:fill="FFFFFF"/>
          <w:lang w:eastAsia="ru-RU"/>
        </w:rPr>
      </w:pPr>
    </w:p>
    <w:p>
      <w:pPr>
        <w:spacing w:after="0" w:line="360" w:lineRule="auto"/>
        <w:ind w:firstLine="708" w:firstLineChars="0"/>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xml:space="preserve">В целях формирования на территории Пий-Хемского кожууна эффективной многоуровневой системы профилактики терроризма и экстремизма возникла необходимость разработки и принятия Муниципальной программы  </w:t>
      </w:r>
      <w:r>
        <w:rPr>
          <w:rFonts w:ascii="Times New Roman" w:hAnsi="Times New Roman" w:eastAsia="Times New Roman" w:cs="Times New Roman"/>
          <w:sz w:val="24"/>
          <w:szCs w:val="24"/>
          <w:lang w:eastAsia="ru-RU"/>
        </w:rPr>
        <w:t xml:space="preserve">«Профилактика терроризма и экстремизма на территории сельского поселения сумона Сесерлиг </w:t>
      </w:r>
      <w:r>
        <w:rPr>
          <w:rFonts w:ascii="Times New Roman" w:hAnsi="Times New Roman" w:eastAsia="Times New Roman" w:cs="Times New Roman"/>
          <w:color w:val="333333"/>
          <w:sz w:val="24"/>
          <w:szCs w:val="24"/>
          <w:shd w:val="clear" w:color="auto" w:fill="FFFFFF"/>
          <w:lang w:eastAsia="ru-RU"/>
        </w:rPr>
        <w:t>Пий-Хемского кожууна</w:t>
      </w:r>
      <w:r>
        <w:rPr>
          <w:rFonts w:ascii="Times New Roman" w:hAnsi="Times New Roman" w:eastAsia="Times New Roman" w:cs="Times New Roman"/>
          <w:sz w:val="24"/>
          <w:szCs w:val="24"/>
          <w:lang w:eastAsia="ru-RU"/>
        </w:rPr>
        <w:t xml:space="preserve"> на 2020 – 2022 годы», к</w:t>
      </w:r>
      <w:r>
        <w:rPr>
          <w:rFonts w:ascii="Times New Roman" w:hAnsi="Times New Roman" w:eastAsia="Times New Roman" w:cs="Times New Roman"/>
          <w:color w:val="333333"/>
          <w:sz w:val="24"/>
          <w:szCs w:val="24"/>
          <w:shd w:val="clear" w:color="auto" w:fill="FFFFFF"/>
          <w:lang w:eastAsia="ru-RU"/>
        </w:rPr>
        <w:t>оторая позволит реализовать комплекс объединенных единым замыслом адекватных мер по локализации причин и условий, способствующих совершенствованию системы безопасности, воздействию на граждан в направлении формирования их законопослушного поведения и правового воспитания.</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Меры, заложенные в Программе, направлены на изменение данной ситуации. Сложившееся положение требует разработки и реализации, долгосрочных мер, направленных на решение задач повышения защищенности населения сумона, которые на современном этапе являются одним из приоритетных. При этом проблемы безопасности населения должны решаться программными методами.</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p>
    <w:p>
      <w:pPr>
        <w:spacing w:after="0" w:line="360" w:lineRule="auto"/>
        <w:jc w:val="center"/>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b/>
          <w:bCs/>
          <w:color w:val="333333"/>
          <w:sz w:val="24"/>
          <w:szCs w:val="24"/>
          <w:shd w:val="clear" w:color="auto" w:fill="FFFFFF"/>
          <w:lang w:eastAsia="ru-RU"/>
        </w:rPr>
        <w:t>Раздел II. Основные цели и задачи, сроки и этапы реализации Программы, а также целевые индикаторы и показатели</w:t>
      </w:r>
    </w:p>
    <w:p>
      <w:pPr>
        <w:spacing w:after="0" w:line="360" w:lineRule="auto"/>
        <w:jc w:val="both"/>
        <w:rPr>
          <w:rFonts w:ascii="Times New Roman" w:hAnsi="Times New Roman" w:eastAsia="Times New Roman" w:cs="Times New Roman"/>
          <w:color w:val="000000"/>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w:t>
      </w:r>
      <w:r>
        <w:rPr>
          <w:rFonts w:hint="default" w:ascii="Times New Roman" w:hAnsi="Times New Roman" w:eastAsia="Times New Roman" w:cs="Times New Roman"/>
          <w:color w:val="333333"/>
          <w:sz w:val="24"/>
          <w:szCs w:val="24"/>
          <w:shd w:val="clear" w:color="auto" w:fill="FFFFFF"/>
          <w:lang w:val="en-US" w:eastAsia="ru-RU"/>
        </w:rPr>
        <w:tab/>
      </w:r>
      <w:r>
        <w:rPr>
          <w:rFonts w:ascii="Times New Roman" w:hAnsi="Times New Roman" w:eastAsia="Times New Roman" w:cs="Times New Roman"/>
          <w:color w:val="000000"/>
          <w:sz w:val="24"/>
          <w:szCs w:val="24"/>
          <w:shd w:val="clear" w:color="auto" w:fill="FFFFFF"/>
          <w:lang w:eastAsia="ru-RU"/>
        </w:rPr>
        <w:t xml:space="preserve">Основной целью Программы является формирование эффективной многоуровневой системы профилактики террористической и экстремисткой деятельности на территории сельского поселения сумона Сесерлиг </w:t>
      </w:r>
      <w:r>
        <w:rPr>
          <w:rFonts w:ascii="Times New Roman" w:hAnsi="Times New Roman" w:eastAsia="Times New Roman" w:cs="Times New Roman"/>
          <w:color w:val="333333"/>
          <w:sz w:val="24"/>
          <w:szCs w:val="24"/>
          <w:shd w:val="clear" w:color="auto" w:fill="FFFFFF"/>
          <w:lang w:eastAsia="ru-RU"/>
        </w:rPr>
        <w:t>Пий-Хемского кожууна</w:t>
      </w:r>
      <w:r>
        <w:rPr>
          <w:rFonts w:ascii="Times New Roman" w:hAnsi="Times New Roman" w:eastAsia="Times New Roman" w:cs="Times New Roman"/>
          <w:color w:val="000000"/>
          <w:sz w:val="24"/>
          <w:szCs w:val="24"/>
          <w:shd w:val="clear" w:color="auto" w:fill="FFFFFF"/>
          <w:lang w:eastAsia="ru-RU"/>
        </w:rPr>
        <w:t>. Для достижения поставленной цели реализация мероприятий Программы будет направлена на решение следующих основных задач:</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дополнительное усиление мер по обеспечению занятости несовершеннолетних в свободное время в целях недопущения безнадзорности и профилактики правонарушений несовершеннолетних;</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совершенствование профилактики преступлений и иных правонарушений среди молодежи;</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выявление и преодоление негативных тенденций, тормозящих устойчивое социальное и культурное развитие сумона Сесерлиг Пий-Хемского кожууна, формирование в сумоне Сесерлиг позитивных ценностей и установок, направленных на уважение, принятие и понимание богатого многообразия культур народов России, их традиций и этнических ценностей;</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повышение степени безопасности промышленных объектов, объектов социальной сферы, транспорта, дорожного движения;</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создание благоприятной и максимально безопасной для населения обстановки в жилом секторе, на улицах и в других общественных местах;</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снижение возможности возникновения чрезвычайных ситуаций природного, техногенного, экологического и санитарно-эпидемиологического характера;</w:t>
      </w:r>
    </w:p>
    <w:p>
      <w:pPr>
        <w:spacing w:after="0" w:line="360" w:lineRule="auto"/>
        <w:jc w:val="center"/>
        <w:rPr>
          <w:rFonts w:ascii="Times New Roman" w:hAnsi="Times New Roman" w:eastAsia="Times New Roman" w:cs="Times New Roman"/>
          <w:b/>
          <w:bCs/>
          <w:color w:val="333333"/>
          <w:sz w:val="24"/>
          <w:szCs w:val="24"/>
          <w:shd w:val="clear" w:color="auto" w:fill="FFFFFF"/>
          <w:lang w:eastAsia="ru-RU"/>
        </w:rPr>
      </w:pPr>
    </w:p>
    <w:p>
      <w:pPr>
        <w:spacing w:after="0" w:line="360" w:lineRule="auto"/>
        <w:jc w:val="center"/>
        <w:rPr>
          <w:rFonts w:ascii="Times New Roman" w:hAnsi="Times New Roman" w:eastAsia="Times New Roman" w:cs="Times New Roman"/>
          <w:b/>
          <w:bCs/>
          <w:color w:val="333333"/>
          <w:sz w:val="24"/>
          <w:szCs w:val="24"/>
          <w:shd w:val="clear" w:color="auto" w:fill="FFFFFF"/>
          <w:lang w:eastAsia="ru-RU"/>
        </w:rPr>
      </w:pPr>
      <w:r>
        <w:rPr>
          <w:rFonts w:ascii="Times New Roman" w:hAnsi="Times New Roman" w:eastAsia="Times New Roman" w:cs="Times New Roman"/>
          <w:b/>
          <w:bCs/>
          <w:color w:val="333333"/>
          <w:sz w:val="24"/>
          <w:szCs w:val="24"/>
          <w:shd w:val="clear" w:color="auto" w:fill="FFFFFF"/>
          <w:lang w:eastAsia="ru-RU"/>
        </w:rPr>
        <w:t>Раздел III. Система программных мероприятий</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w:t>
      </w:r>
      <w:r>
        <w:rPr>
          <w:rFonts w:hint="default" w:ascii="Times New Roman" w:hAnsi="Times New Roman" w:eastAsia="Times New Roman" w:cs="Times New Roman"/>
          <w:color w:val="333333"/>
          <w:sz w:val="24"/>
          <w:szCs w:val="24"/>
          <w:shd w:val="clear" w:color="auto" w:fill="FFFFFF"/>
          <w:lang w:val="en-US" w:eastAsia="ru-RU"/>
        </w:rPr>
        <w:tab/>
      </w:r>
      <w:r>
        <w:rPr>
          <w:rFonts w:ascii="Times New Roman" w:hAnsi="Times New Roman" w:eastAsia="Times New Roman" w:cs="Times New Roman"/>
          <w:color w:val="333333"/>
          <w:sz w:val="24"/>
          <w:szCs w:val="24"/>
          <w:shd w:val="clear" w:color="auto" w:fill="FFFFFF"/>
          <w:lang w:eastAsia="ru-RU"/>
        </w:rPr>
        <w:t>Мероприятия, предлагаемые к реализации и направленные на решение основных задач Программы, с указанием финансовых ресурсов и сроков, необходимых для их реализации, приведены в приложении № 2 к Программе.</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Ресурсное обеспечение Программы осуществляется за счет средств местного бюджета в объемах, предусмотренных на очередной финансовый год.</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Объем средств местного бюджета, </w:t>
      </w:r>
      <w:r>
        <w:rPr>
          <w:rFonts w:ascii="Times New Roman" w:hAnsi="Times New Roman" w:eastAsia="Times New Roman" w:cs="Times New Roman"/>
          <w:color w:val="000000"/>
          <w:sz w:val="24"/>
          <w:szCs w:val="24"/>
          <w:shd w:val="clear" w:color="auto" w:fill="FFFFFF"/>
          <w:lang w:eastAsia="ru-RU"/>
        </w:rPr>
        <w:t>необходимый для финансирования Программы, составляет всего на 2024-2026 годы 5 тыс. рублей</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000000"/>
          <w:sz w:val="24"/>
          <w:szCs w:val="24"/>
          <w:shd w:val="clear" w:color="auto" w:fill="FFFFFF"/>
          <w:lang w:eastAsia="ru-RU"/>
        </w:rPr>
        <w:t>(на прочие расходы), в том числе по годам реализации:</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000000"/>
          <w:sz w:val="24"/>
          <w:szCs w:val="24"/>
          <w:shd w:val="clear" w:color="auto" w:fill="FFFFFF"/>
          <w:lang w:eastAsia="ru-RU"/>
        </w:rPr>
        <w:t>2024 год 3000 рублей;                    </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000000"/>
          <w:sz w:val="24"/>
          <w:szCs w:val="24"/>
          <w:shd w:val="clear" w:color="auto" w:fill="FFFFFF"/>
          <w:lang w:eastAsia="ru-RU"/>
        </w:rPr>
        <w:t>2025 год 1000 рублей;</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000000"/>
          <w:sz w:val="24"/>
          <w:szCs w:val="24"/>
          <w:shd w:val="clear" w:color="auto" w:fill="FFFFFF"/>
          <w:lang w:eastAsia="ru-RU"/>
        </w:rPr>
        <w:t>2026 год 1000 рублей.</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000000"/>
          <w:sz w:val="24"/>
          <w:szCs w:val="24"/>
          <w:shd w:val="clear" w:color="auto" w:fill="FFFFFF"/>
          <w:lang w:eastAsia="ru-RU"/>
        </w:rPr>
        <w:t>Распределение объемов финансирования П</w:t>
      </w:r>
      <w:r>
        <w:rPr>
          <w:rFonts w:ascii="Times New Roman" w:hAnsi="Times New Roman" w:eastAsia="Times New Roman" w:cs="Times New Roman"/>
          <w:color w:val="333333"/>
          <w:sz w:val="24"/>
          <w:szCs w:val="24"/>
          <w:shd w:val="clear" w:color="auto" w:fill="FFFFFF"/>
          <w:lang w:eastAsia="ru-RU"/>
        </w:rPr>
        <w:t>рограммы по годам ее реализации осуществляется согласно приложению № 3 к Программе.</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p>
    <w:p>
      <w:pPr>
        <w:spacing w:after="0" w:line="360" w:lineRule="auto"/>
        <w:jc w:val="center"/>
        <w:rPr>
          <w:rFonts w:ascii="Times New Roman" w:hAnsi="Times New Roman" w:eastAsia="Times New Roman" w:cs="Times New Roman"/>
          <w:b/>
          <w:bCs/>
          <w:color w:val="333333"/>
          <w:sz w:val="24"/>
          <w:szCs w:val="24"/>
          <w:shd w:val="clear" w:color="auto" w:fill="FFFFFF"/>
          <w:lang w:eastAsia="ru-RU"/>
        </w:rPr>
      </w:pPr>
      <w:r>
        <w:rPr>
          <w:rFonts w:ascii="Times New Roman" w:hAnsi="Times New Roman" w:eastAsia="Times New Roman" w:cs="Times New Roman"/>
          <w:b/>
          <w:bCs/>
          <w:color w:val="333333"/>
          <w:sz w:val="24"/>
          <w:szCs w:val="24"/>
          <w:shd w:val="clear" w:color="auto" w:fill="FFFFFF"/>
          <w:lang w:eastAsia="ru-RU"/>
        </w:rPr>
        <w:t>Раздел IV. Нормативное обеспечение</w:t>
      </w:r>
    </w:p>
    <w:p>
      <w:pPr>
        <w:spacing w:after="0" w:line="360" w:lineRule="auto"/>
        <w:jc w:val="center"/>
        <w:rPr>
          <w:rFonts w:ascii="Times New Roman" w:hAnsi="Times New Roman" w:eastAsia="Times New Roman" w:cs="Times New Roman"/>
          <w:b/>
          <w:bCs/>
          <w:color w:val="333333"/>
          <w:sz w:val="24"/>
          <w:szCs w:val="24"/>
          <w:shd w:val="clear" w:color="auto" w:fill="FFFFFF"/>
          <w:lang w:eastAsia="ru-RU"/>
        </w:rPr>
      </w:pP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Разработка и принятие нормативных правовых актов для обеспечения достижения общей цели Программы не предусматриваются.</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p>
    <w:p>
      <w:pPr>
        <w:spacing w:after="0" w:line="360" w:lineRule="auto"/>
        <w:jc w:val="center"/>
        <w:rPr>
          <w:rFonts w:ascii="Times New Roman" w:hAnsi="Times New Roman" w:eastAsia="Times New Roman" w:cs="Times New Roman"/>
          <w:b/>
          <w:bCs/>
          <w:color w:val="333333"/>
          <w:sz w:val="24"/>
          <w:szCs w:val="24"/>
          <w:shd w:val="clear" w:color="auto" w:fill="FFFFFF"/>
          <w:lang w:eastAsia="ru-RU"/>
        </w:rPr>
      </w:pPr>
      <w:r>
        <w:rPr>
          <w:rFonts w:ascii="Times New Roman" w:hAnsi="Times New Roman" w:eastAsia="Times New Roman" w:cs="Times New Roman"/>
          <w:b/>
          <w:bCs/>
          <w:color w:val="333333"/>
          <w:sz w:val="24"/>
          <w:szCs w:val="24"/>
          <w:shd w:val="clear" w:color="auto" w:fill="FFFFFF"/>
          <w:lang w:eastAsia="ru-RU"/>
        </w:rPr>
        <w:t xml:space="preserve">Раздел V. Механизм реализации программы, организация </w:t>
      </w:r>
    </w:p>
    <w:p>
      <w:pPr>
        <w:spacing w:after="0" w:line="360" w:lineRule="auto"/>
        <w:jc w:val="center"/>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b/>
          <w:bCs/>
          <w:color w:val="333333"/>
          <w:sz w:val="24"/>
          <w:szCs w:val="24"/>
          <w:shd w:val="clear" w:color="auto" w:fill="FFFFFF"/>
          <w:lang w:eastAsia="ru-RU"/>
        </w:rPr>
        <w:t>управления Программой и контроль за ходом ее реализации</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Заказчик – координатор Программы:</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с учетом выделяемых на реализацию Программы финансовых средств</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ежегодно уточняет целевые показатели и затраты по программным мероприятиям, механизм реализации Программы, состав исполнителей в установленном порядке;</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при необходимости готовит предложения о корректировке сроков реализации Программы и перечня программных мероприятий;</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готовит и представляет на рассмотрение коллегии Администрации сельского поселения сумона Сесерлиг отчет о ходе работ по Программе и эффективности использования финансовых средств за весь период ее реализации после завершения Программы в отчетном году;</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готовит отчеты о ходе работ по Программе по результатам за год и за весь период действия Программы и вносит соответствующий проект постановления Администрации в соответствии с Регламентом Администрации сельского поселения сумона Сесерлиг;</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Руководители, структурных подразделений (функциональных) органов Администрации сельского поселения сумона Сесерлиг, несут персональную ответственность за реализацию комплекса закрепленных за ними мероприятий Программы, осуществляют управление исполнителями этих мероприятий, обеспечивают эффективное использование средств, выделяемых на их реализацию.</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p>
    <w:p>
      <w:pPr>
        <w:spacing w:after="0" w:line="360" w:lineRule="auto"/>
        <w:jc w:val="center"/>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b/>
          <w:bCs/>
          <w:color w:val="333333"/>
          <w:sz w:val="24"/>
          <w:szCs w:val="24"/>
          <w:shd w:val="clear" w:color="auto" w:fill="FFFFFF"/>
          <w:lang w:eastAsia="ru-RU"/>
        </w:rPr>
        <w:t>Раздел VI. Оценка эффективности социально-экономических и экологических последствий от реализации программы</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Реализация Программы в силу ее специфики и ярко выраженного социально-профилактического характера окажет значительное влияние на стабильность общества, качество жизни населения, демографические показатели на протяжении длительного времени, состояние защищенности граждан и общества от преступных посягательств, а также обеспечит дальнейшее совершенствование форм и методов организации профилактики правонарушений.</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Выполнение профилактических мероприятий Программы обеспечит:</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xml:space="preserve">     Формирование позитивных моральных и нравственных ценностей, определяющих отрицательное отношение к потреблению алкоголя, выбор здорового образа жизни подростками и молодежью. Увеличится доля несовершеннолетних группы риска, занимающихся физической культурой и спортом.</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Реальную эффективность реализации Программы позволит оценить результат проведения мониторинга общественного мнения об отношении населения к работе органов внутренних дел.</w:t>
      </w:r>
    </w:p>
    <w:p>
      <w:pPr>
        <w:spacing w:after="0" w:line="360" w:lineRule="auto"/>
        <w:ind w:firstLine="708"/>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К числу ожидаемых показателей эффективности и результативности Программы по группе социально значимых результатов относятся следующие показатели:</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снижение социальной напряженности в обществе, обусловленной снижением уровня преступности на улицах и в общественных местах;</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создание дополнительных условий для вовлечения несовершеннолетних группы риска в работу кружков и спортивных секций;</w:t>
      </w:r>
    </w:p>
    <w:p>
      <w:pPr>
        <w:spacing w:after="0" w:line="360" w:lineRule="auto"/>
        <w:jc w:val="both"/>
        <w:rPr>
          <w:rFonts w:ascii="Times New Roman" w:hAnsi="Times New Roman" w:eastAsia="Times New Roman" w:cs="Times New Roman"/>
          <w:color w:val="333333"/>
          <w:sz w:val="24"/>
          <w:szCs w:val="24"/>
          <w:shd w:val="clear" w:color="auto" w:fill="FFFFFF"/>
          <w:lang w:eastAsia="ru-RU"/>
        </w:rPr>
      </w:pPr>
      <w:r>
        <w:rPr>
          <w:rFonts w:ascii="Times New Roman" w:hAnsi="Times New Roman" w:eastAsia="Times New Roman" w:cs="Times New Roman"/>
          <w:color w:val="333333"/>
          <w:sz w:val="24"/>
          <w:szCs w:val="24"/>
          <w:shd w:val="clear" w:color="auto" w:fill="FFFFFF"/>
          <w:lang w:eastAsia="ru-RU"/>
        </w:rPr>
        <w:t> </w:t>
      </w:r>
    </w:p>
    <w:p>
      <w:pPr>
        <w:spacing w:after="0" w:line="360" w:lineRule="auto"/>
        <w:rPr>
          <w:rFonts w:ascii="Times New Roman" w:hAnsi="Times New Roman" w:eastAsia="Calibri" w:cs="Times New Roman"/>
          <w:sz w:val="24"/>
          <w:szCs w:val="24"/>
        </w:rPr>
      </w:pPr>
    </w:p>
    <w:p>
      <w:pPr>
        <w:spacing w:after="0" w:line="360" w:lineRule="auto"/>
        <w:rPr>
          <w:rFonts w:ascii="Times New Roman" w:hAnsi="Times New Roman" w:eastAsia="Calibri" w:cs="Times New Roman"/>
          <w:sz w:val="24"/>
          <w:szCs w:val="24"/>
        </w:rPr>
      </w:pPr>
    </w:p>
    <w:p>
      <w:pPr>
        <w:spacing w:line="360" w:lineRule="auto"/>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A4B"/>
    <w:rsid w:val="003B1A4B"/>
    <w:rsid w:val="00BB6858"/>
    <w:rsid w:val="00CA55A8"/>
    <w:rsid w:val="00E025C6"/>
    <w:rsid w:val="211B0F80"/>
    <w:rsid w:val="54771D2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 Spacing"/>
    <w:qFormat/>
    <w:uiPriority w:val="1"/>
    <w:pPr>
      <w:spacing w:after="0" w:line="240" w:lineRule="auto"/>
    </w:pPr>
    <w:rPr>
      <w:rFonts w:asciiTheme="minorHAnsi" w:hAnsiTheme="minorHAnsi" w:eastAsiaTheme="minorEastAsia" w:cstheme="minorBidi"/>
      <w:sz w:val="22"/>
      <w:szCs w:val="22"/>
      <w:lang w:val="ru-RU"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1636</Words>
  <Characters>9328</Characters>
  <Lines>77</Lines>
  <Paragraphs>21</Paragraphs>
  <TotalTime>19</TotalTime>
  <ScaleCrop>false</ScaleCrop>
  <LinksUpToDate>false</LinksUpToDate>
  <CharactersWithSpaces>10943</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2023-11-28T04:43:00Z</dcterms:created>
  <dc:creator>User</dc:creator>
  <cp:lastModifiedBy>Менди Ондар</cp:lastModifiedBy>
  <cp:lastPrinted>2023-12-26T16:41:31Z</cp:lastPrinted>
  <dcterms:modified xsi:type="dcterms:W3CDTF">2023-12-26T16:41:39Z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1049-12.2.0.13306</vt:lpwstr>
  </property>
  <property fmtid="{D5CDD505-2E9C-101B-9397-08002B2CF9AE}" pid="3" name="ICV">
    <vt:lpwstr>9CFE28A7E171433BB579EFD7DD173342_12</vt:lpwstr>
  </property>
</Properties>
</file>